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35" w:rsidRPr="004F028C" w:rsidRDefault="00647934">
      <w:pPr>
        <w:rPr>
          <w:rFonts w:cstheme="minorHAnsi"/>
        </w:rPr>
      </w:pPr>
      <w:r w:rsidRPr="004F028C">
        <w:rPr>
          <w:rFonts w:cstheme="minorHAnsi"/>
        </w:rPr>
        <w:t xml:space="preserve">Title: </w:t>
      </w:r>
      <w:r w:rsidRPr="004F028C">
        <w:rPr>
          <w:rFonts w:cstheme="minorHAnsi"/>
        </w:rPr>
        <w:tab/>
      </w:r>
      <w:r w:rsidRPr="004F028C">
        <w:rPr>
          <w:rFonts w:cstheme="minorHAnsi"/>
        </w:rPr>
        <w:tab/>
        <w:t>Chief Accountant and Head Financial and Regulatory Reporting</w:t>
      </w:r>
    </w:p>
    <w:p w:rsidR="00647934" w:rsidRPr="004F028C" w:rsidRDefault="00647934">
      <w:pPr>
        <w:rPr>
          <w:rFonts w:cstheme="minorHAnsi"/>
        </w:rPr>
      </w:pPr>
      <w:r w:rsidRPr="004F028C">
        <w:rPr>
          <w:rFonts w:cstheme="minorHAnsi"/>
        </w:rPr>
        <w:t xml:space="preserve">Industry:  </w:t>
      </w:r>
      <w:r w:rsidRPr="004F028C">
        <w:rPr>
          <w:rFonts w:cstheme="minorHAnsi"/>
        </w:rPr>
        <w:tab/>
        <w:t>Financial Services/Banking</w:t>
      </w:r>
    </w:p>
    <w:p w:rsidR="00647934" w:rsidRPr="004F028C" w:rsidRDefault="00647934">
      <w:pPr>
        <w:rPr>
          <w:rFonts w:cstheme="minorHAnsi"/>
        </w:rPr>
      </w:pPr>
      <w:r w:rsidRPr="004F028C">
        <w:rPr>
          <w:rFonts w:cstheme="minorHAnsi"/>
        </w:rPr>
        <w:t>Location:</w:t>
      </w:r>
      <w:r w:rsidRPr="004F028C">
        <w:rPr>
          <w:rFonts w:cstheme="minorHAnsi"/>
        </w:rPr>
        <w:tab/>
        <w:t>Chicago</w:t>
      </w:r>
    </w:p>
    <w:p w:rsidR="00647934" w:rsidRPr="004F028C" w:rsidRDefault="00647934" w:rsidP="00483A3B">
      <w:pPr>
        <w:pBdr>
          <w:bottom w:val="single" w:sz="12" w:space="1" w:color="auto"/>
        </w:pBdr>
        <w:spacing w:after="0" w:line="240" w:lineRule="auto"/>
        <w:rPr>
          <w:rFonts w:cstheme="minorHAnsi"/>
        </w:rPr>
      </w:pPr>
      <w:r w:rsidRPr="004F028C">
        <w:rPr>
          <w:rFonts w:cstheme="minorHAnsi"/>
        </w:rPr>
        <w:t>The Chief Accountant and Head Financial and Regulatory Reporting, is accountable to provide management oversight of and act as key advisor on accounting matters for the Financial Corp and subsidiaries.  Accountable for the leadership and direction of the following functions:   financial governance, including compliance with accounting policies and pronouncements, and FDICIA assessment process (SOX equivalent); financial and regulatory reporting, including delivery of efficient, consistent, accurate, relevant, and timely financial reports that help achieve business objectives and meet statutory and regulatory requirements.</w:t>
      </w:r>
    </w:p>
    <w:p w:rsidR="00483A3B" w:rsidRDefault="00483A3B" w:rsidP="00647934">
      <w:pPr>
        <w:pStyle w:val="Heading4"/>
        <w:rPr>
          <w:rFonts w:asciiTheme="minorHAnsi" w:hAnsiTheme="minorHAnsi" w:cstheme="minorHAnsi"/>
          <w:bCs w:val="0"/>
          <w:sz w:val="22"/>
          <w:szCs w:val="22"/>
          <w:u w:val="single"/>
        </w:rPr>
      </w:pPr>
    </w:p>
    <w:p w:rsidR="00647934" w:rsidRPr="004F028C" w:rsidRDefault="00647934" w:rsidP="00647934">
      <w:pPr>
        <w:pStyle w:val="Heading4"/>
        <w:rPr>
          <w:rFonts w:asciiTheme="minorHAnsi" w:hAnsiTheme="minorHAnsi" w:cstheme="minorHAnsi"/>
          <w:bCs w:val="0"/>
          <w:sz w:val="22"/>
          <w:szCs w:val="22"/>
          <w:u w:val="single"/>
        </w:rPr>
      </w:pPr>
      <w:r w:rsidRPr="004F028C">
        <w:rPr>
          <w:rFonts w:asciiTheme="minorHAnsi" w:hAnsiTheme="minorHAnsi" w:cstheme="minorHAnsi"/>
          <w:bCs w:val="0"/>
          <w:sz w:val="22"/>
          <w:szCs w:val="22"/>
          <w:u w:val="single"/>
        </w:rPr>
        <w:t>KEY AREAS OF ACCOUNTABILITY</w:t>
      </w:r>
    </w:p>
    <w:p w:rsidR="00647934" w:rsidRPr="004F028C" w:rsidRDefault="00647934" w:rsidP="00647934">
      <w:pPr>
        <w:spacing w:after="0" w:line="240" w:lineRule="auto"/>
        <w:rPr>
          <w:rFonts w:cstheme="minorHAnsi"/>
        </w:rPr>
      </w:pPr>
      <w:r w:rsidRPr="004F028C">
        <w:rPr>
          <w:rFonts w:cstheme="minorHAnsi"/>
        </w:rPr>
        <w:t>A.   Advisory and Relationship Management</w:t>
      </w:r>
    </w:p>
    <w:p w:rsidR="00647934" w:rsidRPr="004F028C" w:rsidRDefault="00647934" w:rsidP="00647934">
      <w:pPr>
        <w:tabs>
          <w:tab w:val="center" w:pos="4680"/>
        </w:tabs>
        <w:spacing w:after="0" w:line="240" w:lineRule="auto"/>
        <w:rPr>
          <w:rFonts w:cstheme="minorHAnsi"/>
          <w:bCs/>
          <w:u w:val="single"/>
        </w:rPr>
      </w:pPr>
      <w:r w:rsidRPr="004F028C">
        <w:rPr>
          <w:rFonts w:cstheme="minorHAnsi"/>
        </w:rPr>
        <w:t>B.   Financial Governance</w:t>
      </w:r>
      <w:r w:rsidRPr="004F028C">
        <w:rPr>
          <w:rFonts w:cstheme="minorHAnsi"/>
        </w:rPr>
        <w:tab/>
      </w:r>
    </w:p>
    <w:p w:rsidR="00647934" w:rsidRPr="004F028C" w:rsidRDefault="00647934" w:rsidP="00647934">
      <w:pPr>
        <w:spacing w:after="0" w:line="240" w:lineRule="auto"/>
        <w:rPr>
          <w:rFonts w:cstheme="minorHAnsi"/>
          <w:bCs/>
        </w:rPr>
      </w:pPr>
      <w:r w:rsidRPr="004F028C">
        <w:rPr>
          <w:rFonts w:cstheme="minorHAnsi"/>
        </w:rPr>
        <w:t>C.</w:t>
      </w:r>
      <w:r w:rsidRPr="004F028C">
        <w:rPr>
          <w:rFonts w:cstheme="minorHAnsi"/>
          <w:bCs/>
        </w:rPr>
        <w:t xml:space="preserve">   Accounting Risk</w:t>
      </w:r>
    </w:p>
    <w:p w:rsidR="00647934" w:rsidRPr="004F028C" w:rsidRDefault="00647934" w:rsidP="00647934">
      <w:pPr>
        <w:spacing w:after="0" w:line="240" w:lineRule="auto"/>
        <w:rPr>
          <w:rFonts w:cstheme="minorHAnsi"/>
          <w:bCs/>
        </w:rPr>
      </w:pPr>
      <w:r w:rsidRPr="004F028C">
        <w:rPr>
          <w:rFonts w:cstheme="minorHAnsi"/>
          <w:bCs/>
        </w:rPr>
        <w:t>D.   Financial and Regulatory Reporting</w:t>
      </w:r>
    </w:p>
    <w:p w:rsidR="00647934" w:rsidRPr="004F028C" w:rsidRDefault="00647934" w:rsidP="00647934">
      <w:pPr>
        <w:spacing w:after="0" w:line="240" w:lineRule="auto"/>
        <w:rPr>
          <w:rFonts w:cstheme="minorHAnsi"/>
          <w:bCs/>
        </w:rPr>
      </w:pPr>
      <w:r w:rsidRPr="004F028C">
        <w:rPr>
          <w:rFonts w:cstheme="minorHAnsi"/>
          <w:bCs/>
        </w:rPr>
        <w:t>E.   FDICIA</w:t>
      </w:r>
    </w:p>
    <w:p w:rsidR="00647934" w:rsidRPr="004F028C" w:rsidRDefault="00647934" w:rsidP="00647934">
      <w:pPr>
        <w:spacing w:after="0" w:line="240" w:lineRule="auto"/>
        <w:rPr>
          <w:rFonts w:cstheme="minorHAnsi"/>
          <w:bCs/>
        </w:rPr>
      </w:pPr>
      <w:r w:rsidRPr="004F028C">
        <w:rPr>
          <w:rFonts w:cstheme="minorHAnsi"/>
          <w:bCs/>
        </w:rPr>
        <w:t>F.   Internal and External Bank Representation</w:t>
      </w:r>
    </w:p>
    <w:p w:rsidR="00647934" w:rsidRPr="004F028C" w:rsidRDefault="00647934" w:rsidP="00647934">
      <w:pPr>
        <w:spacing w:after="0" w:line="240" w:lineRule="auto"/>
        <w:rPr>
          <w:rFonts w:cstheme="minorHAnsi"/>
          <w:bCs/>
        </w:rPr>
      </w:pPr>
      <w:r w:rsidRPr="004F028C">
        <w:rPr>
          <w:rFonts w:cstheme="minorHAnsi"/>
          <w:bCs/>
        </w:rPr>
        <w:t>G.   Managerial Leadership</w:t>
      </w:r>
    </w:p>
    <w:p w:rsidR="00647934" w:rsidRPr="004F028C" w:rsidRDefault="00647934" w:rsidP="00647934">
      <w:pPr>
        <w:pStyle w:val="Heading4"/>
        <w:rPr>
          <w:rFonts w:asciiTheme="minorHAnsi" w:hAnsiTheme="minorHAnsi" w:cstheme="minorHAnsi"/>
          <w:b w:val="0"/>
          <w:sz w:val="22"/>
          <w:szCs w:val="22"/>
          <w:u w:val="single"/>
        </w:rPr>
      </w:pPr>
    </w:p>
    <w:p w:rsidR="00647934" w:rsidRPr="004F028C" w:rsidRDefault="00647934" w:rsidP="00647934">
      <w:pPr>
        <w:pStyle w:val="Heading4"/>
        <w:rPr>
          <w:rFonts w:asciiTheme="minorHAnsi" w:hAnsiTheme="minorHAnsi" w:cstheme="minorHAnsi"/>
          <w:sz w:val="22"/>
          <w:szCs w:val="22"/>
          <w:u w:val="single"/>
        </w:rPr>
      </w:pPr>
      <w:r w:rsidRPr="004F028C">
        <w:rPr>
          <w:rFonts w:asciiTheme="minorHAnsi" w:hAnsiTheme="minorHAnsi" w:cstheme="minorHAnsi"/>
          <w:sz w:val="22"/>
          <w:szCs w:val="22"/>
          <w:u w:val="single"/>
        </w:rPr>
        <w:t xml:space="preserve">AUTHORITIES  </w:t>
      </w:r>
    </w:p>
    <w:p w:rsidR="00647934" w:rsidRPr="004F028C" w:rsidRDefault="00647934" w:rsidP="00647934">
      <w:pPr>
        <w:numPr>
          <w:ilvl w:val="0"/>
          <w:numId w:val="3"/>
        </w:numPr>
        <w:spacing w:after="0" w:line="240" w:lineRule="auto"/>
        <w:rPr>
          <w:rFonts w:cstheme="minorHAnsi"/>
        </w:rPr>
      </w:pPr>
      <w:r w:rsidRPr="004F028C">
        <w:rPr>
          <w:rFonts w:cstheme="minorHAnsi"/>
        </w:rPr>
        <w:t>Approval:  authority to approve policies, procedures and standards related to accounting and financial information, ensuring alignment with parent organization.</w:t>
      </w:r>
    </w:p>
    <w:p w:rsidR="00647934" w:rsidRPr="004F028C" w:rsidRDefault="00647934" w:rsidP="00647934">
      <w:pPr>
        <w:numPr>
          <w:ilvl w:val="0"/>
          <w:numId w:val="3"/>
        </w:numPr>
        <w:spacing w:after="0" w:line="240" w:lineRule="auto"/>
        <w:rPr>
          <w:rFonts w:cstheme="minorHAnsi"/>
        </w:rPr>
      </w:pPr>
      <w:r w:rsidRPr="004F028C">
        <w:rPr>
          <w:rFonts w:cstheme="minorHAnsi"/>
        </w:rPr>
        <w:t>Managerial:  authority to deploy resources (physical, financial &amp; human) as appropriate to meet business goals and objectives.</w:t>
      </w:r>
    </w:p>
    <w:p w:rsidR="00647934" w:rsidRPr="004F028C" w:rsidRDefault="00647934" w:rsidP="00647934">
      <w:pPr>
        <w:numPr>
          <w:ilvl w:val="0"/>
          <w:numId w:val="3"/>
        </w:numPr>
        <w:spacing w:after="0" w:line="240" w:lineRule="auto"/>
        <w:rPr>
          <w:rFonts w:cstheme="minorHAnsi"/>
        </w:rPr>
      </w:pPr>
      <w:r w:rsidRPr="004F028C">
        <w:rPr>
          <w:rFonts w:cstheme="minorHAnsi"/>
        </w:rPr>
        <w:t>Advisory:  authority to provide solicited and unsolicited advice to Senior Executive related to accounting and financial information.</w:t>
      </w:r>
    </w:p>
    <w:p w:rsidR="00647934" w:rsidRPr="004F028C" w:rsidRDefault="00647934" w:rsidP="00647934">
      <w:pPr>
        <w:pStyle w:val="2ndLevelIndent"/>
        <w:numPr>
          <w:ilvl w:val="0"/>
          <w:numId w:val="3"/>
        </w:numPr>
        <w:rPr>
          <w:rFonts w:asciiTheme="minorHAnsi" w:hAnsiTheme="minorHAnsi" w:cstheme="minorHAnsi"/>
          <w:color w:val="auto"/>
          <w:sz w:val="22"/>
          <w:szCs w:val="22"/>
        </w:rPr>
      </w:pPr>
      <w:r w:rsidRPr="004F028C">
        <w:rPr>
          <w:rFonts w:asciiTheme="minorHAnsi" w:hAnsiTheme="minorHAnsi" w:cstheme="minorHAnsi"/>
          <w:color w:val="auto"/>
          <w:sz w:val="22"/>
          <w:szCs w:val="22"/>
        </w:rPr>
        <w:t>Auditing – of practices and processes to ensure compliance with accounting and regulatory requirements</w:t>
      </w:r>
    </w:p>
    <w:p w:rsidR="00647934" w:rsidRPr="004F028C" w:rsidRDefault="00647934" w:rsidP="00647934">
      <w:pPr>
        <w:spacing w:after="0" w:line="240" w:lineRule="auto"/>
        <w:rPr>
          <w:rFonts w:cstheme="minorHAnsi"/>
          <w:b/>
          <w:u w:val="single"/>
        </w:rPr>
      </w:pPr>
    </w:p>
    <w:p w:rsidR="00647934" w:rsidRPr="004F028C" w:rsidRDefault="00647934" w:rsidP="00647934">
      <w:pPr>
        <w:spacing w:after="0" w:line="240" w:lineRule="auto"/>
        <w:rPr>
          <w:rFonts w:cstheme="minorHAnsi"/>
          <w:b/>
          <w:u w:val="single"/>
        </w:rPr>
      </w:pPr>
      <w:r w:rsidRPr="004F028C">
        <w:rPr>
          <w:rFonts w:cstheme="minorHAnsi"/>
          <w:b/>
          <w:u w:val="single"/>
        </w:rPr>
        <w:t>CROSS-FUNCTIONAL RELATIONSHIPS</w:t>
      </w:r>
    </w:p>
    <w:p w:rsidR="00647934" w:rsidRPr="004F028C" w:rsidRDefault="00647934" w:rsidP="00647934">
      <w:pPr>
        <w:numPr>
          <w:ilvl w:val="0"/>
          <w:numId w:val="4"/>
        </w:numPr>
        <w:spacing w:after="0" w:line="240" w:lineRule="auto"/>
        <w:rPr>
          <w:rFonts w:cstheme="minorHAnsi"/>
          <w:bCs/>
        </w:rPr>
      </w:pPr>
      <w:r w:rsidRPr="004F028C">
        <w:rPr>
          <w:rFonts w:cstheme="minorHAnsi"/>
          <w:bCs/>
        </w:rPr>
        <w:t>Executive and Senior Management within organization to provide advice on accounting and financial information</w:t>
      </w:r>
    </w:p>
    <w:p w:rsidR="00647934" w:rsidRPr="004F028C" w:rsidRDefault="00647934" w:rsidP="00647934">
      <w:pPr>
        <w:numPr>
          <w:ilvl w:val="0"/>
          <w:numId w:val="4"/>
        </w:numPr>
        <w:spacing w:after="0" w:line="240" w:lineRule="auto"/>
        <w:rPr>
          <w:rFonts w:cstheme="minorHAnsi"/>
          <w:bCs/>
        </w:rPr>
      </w:pPr>
      <w:r w:rsidRPr="004F028C">
        <w:rPr>
          <w:rFonts w:cstheme="minorHAnsi"/>
          <w:bCs/>
        </w:rPr>
        <w:t>Parent organization Chief Accountant and team members</w:t>
      </w:r>
    </w:p>
    <w:p w:rsidR="00647934" w:rsidRPr="004F028C" w:rsidRDefault="00647934" w:rsidP="00647934">
      <w:pPr>
        <w:numPr>
          <w:ilvl w:val="0"/>
          <w:numId w:val="4"/>
        </w:numPr>
        <w:spacing w:after="0" w:line="240" w:lineRule="auto"/>
        <w:rPr>
          <w:rFonts w:cstheme="minorHAnsi"/>
          <w:bCs/>
        </w:rPr>
      </w:pPr>
      <w:r w:rsidRPr="004F028C">
        <w:rPr>
          <w:rFonts w:cstheme="minorHAnsi"/>
          <w:bCs/>
        </w:rPr>
        <w:t>Bank Audit Committee members</w:t>
      </w:r>
    </w:p>
    <w:p w:rsidR="00647934" w:rsidRPr="004F028C" w:rsidRDefault="00647934" w:rsidP="00647934">
      <w:pPr>
        <w:numPr>
          <w:ilvl w:val="0"/>
          <w:numId w:val="4"/>
        </w:numPr>
        <w:spacing w:after="0" w:line="240" w:lineRule="auto"/>
        <w:rPr>
          <w:rFonts w:cstheme="minorHAnsi"/>
          <w:bCs/>
        </w:rPr>
      </w:pPr>
      <w:r w:rsidRPr="004F028C">
        <w:rPr>
          <w:rFonts w:cstheme="minorHAnsi"/>
          <w:bCs/>
        </w:rPr>
        <w:t>Senior U.S. Group Finance leaders.</w:t>
      </w:r>
    </w:p>
    <w:p w:rsidR="00647934" w:rsidRPr="004F028C" w:rsidRDefault="00647934" w:rsidP="00647934">
      <w:pPr>
        <w:numPr>
          <w:ilvl w:val="0"/>
          <w:numId w:val="4"/>
        </w:numPr>
        <w:spacing w:after="0" w:line="240" w:lineRule="auto"/>
        <w:rPr>
          <w:rFonts w:cstheme="minorHAnsi"/>
          <w:bCs/>
        </w:rPr>
      </w:pPr>
      <w:r w:rsidRPr="004F028C">
        <w:rPr>
          <w:rFonts w:cstheme="minorHAnsi"/>
          <w:bCs/>
        </w:rPr>
        <w:t>US External Auditors</w:t>
      </w:r>
    </w:p>
    <w:p w:rsidR="00647934" w:rsidRPr="004F028C" w:rsidRDefault="00647934" w:rsidP="00647934">
      <w:pPr>
        <w:numPr>
          <w:ilvl w:val="0"/>
          <w:numId w:val="4"/>
        </w:numPr>
        <w:spacing w:after="0" w:line="240" w:lineRule="auto"/>
        <w:rPr>
          <w:rFonts w:cstheme="minorHAnsi"/>
          <w:bCs/>
        </w:rPr>
      </w:pPr>
      <w:r w:rsidRPr="004F028C">
        <w:rPr>
          <w:rFonts w:cstheme="minorHAnsi"/>
          <w:bCs/>
        </w:rPr>
        <w:t>Chief Accountants and/or senior Finance professionals at other Banks</w:t>
      </w:r>
    </w:p>
    <w:p w:rsidR="00647934" w:rsidRPr="004F028C" w:rsidRDefault="00647934" w:rsidP="00647934">
      <w:pPr>
        <w:pStyle w:val="ListParagraph"/>
        <w:numPr>
          <w:ilvl w:val="0"/>
          <w:numId w:val="4"/>
        </w:numPr>
        <w:spacing w:after="0" w:line="240" w:lineRule="auto"/>
        <w:rPr>
          <w:rFonts w:cstheme="minorHAnsi"/>
          <w:bCs/>
        </w:rPr>
      </w:pPr>
      <w:r w:rsidRPr="004F028C">
        <w:rPr>
          <w:rFonts w:cstheme="minorHAnsi"/>
          <w:bCs/>
        </w:rPr>
        <w:t>Legal and Taxation groups</w:t>
      </w:r>
    </w:p>
    <w:p w:rsidR="00647934" w:rsidRPr="004F028C" w:rsidRDefault="00647934" w:rsidP="00647934">
      <w:pPr>
        <w:pStyle w:val="ListParagraph"/>
        <w:numPr>
          <w:ilvl w:val="0"/>
          <w:numId w:val="4"/>
        </w:numPr>
        <w:spacing w:after="0" w:line="240" w:lineRule="auto"/>
        <w:rPr>
          <w:rFonts w:cstheme="minorHAnsi"/>
          <w:bCs/>
        </w:rPr>
      </w:pPr>
      <w:r w:rsidRPr="004F028C">
        <w:rPr>
          <w:rFonts w:cstheme="minorHAnsi"/>
          <w:bCs/>
        </w:rPr>
        <w:t>CFO and CEO</w:t>
      </w:r>
    </w:p>
    <w:p w:rsidR="00647934" w:rsidRPr="004F028C" w:rsidRDefault="00647934" w:rsidP="00647934">
      <w:pPr>
        <w:numPr>
          <w:ilvl w:val="0"/>
          <w:numId w:val="4"/>
        </w:numPr>
        <w:spacing w:after="0" w:line="240" w:lineRule="auto"/>
        <w:rPr>
          <w:rFonts w:cstheme="minorHAnsi"/>
          <w:bCs/>
        </w:rPr>
      </w:pPr>
      <w:r w:rsidRPr="004F028C">
        <w:rPr>
          <w:rFonts w:cstheme="minorHAnsi"/>
          <w:bCs/>
        </w:rPr>
        <w:t>U.S. Regulators</w:t>
      </w:r>
    </w:p>
    <w:p w:rsidR="00647934" w:rsidRPr="004F028C" w:rsidRDefault="00647934" w:rsidP="00647934">
      <w:pPr>
        <w:numPr>
          <w:ilvl w:val="0"/>
          <w:numId w:val="4"/>
        </w:numPr>
        <w:spacing w:after="0" w:line="240" w:lineRule="auto"/>
        <w:rPr>
          <w:rFonts w:cstheme="minorHAnsi"/>
          <w:bCs/>
        </w:rPr>
      </w:pPr>
      <w:r w:rsidRPr="004F028C">
        <w:rPr>
          <w:rFonts w:cstheme="minorHAnsi"/>
          <w:bCs/>
        </w:rPr>
        <w:t>Professional Accounting Organizations</w:t>
      </w:r>
    </w:p>
    <w:p w:rsidR="00647934" w:rsidRPr="004F028C" w:rsidRDefault="00647934" w:rsidP="00647934">
      <w:pPr>
        <w:rPr>
          <w:rFonts w:cstheme="minorHAnsi"/>
          <w:b/>
          <w:u w:val="single"/>
        </w:rPr>
      </w:pPr>
    </w:p>
    <w:p w:rsidR="00647934" w:rsidRPr="004F028C" w:rsidRDefault="00647934" w:rsidP="00647934">
      <w:pPr>
        <w:spacing w:after="0" w:line="240" w:lineRule="auto"/>
        <w:rPr>
          <w:rFonts w:cstheme="minorHAnsi"/>
          <w:b/>
          <w:u w:val="single"/>
        </w:rPr>
      </w:pPr>
      <w:r w:rsidRPr="004F028C">
        <w:rPr>
          <w:rFonts w:cstheme="minorHAnsi"/>
          <w:b/>
          <w:u w:val="single"/>
        </w:rPr>
        <w:lastRenderedPageBreak/>
        <w:t>SCOPE AND IMPACT</w:t>
      </w:r>
    </w:p>
    <w:p w:rsidR="00647934" w:rsidRPr="004F028C" w:rsidRDefault="00647934" w:rsidP="004F028C">
      <w:pPr>
        <w:spacing w:after="0" w:line="240" w:lineRule="auto"/>
        <w:rPr>
          <w:rFonts w:cstheme="minorHAnsi"/>
        </w:rPr>
      </w:pPr>
      <w:r w:rsidRPr="004F028C">
        <w:rPr>
          <w:rFonts w:cstheme="minorHAnsi"/>
          <w:bCs/>
        </w:rPr>
        <w:t>Through its advisory capacity, this role has direct impact on the CEO and CFO’s requirement to provide accurate financial reporting to regulators and shareholders.</w:t>
      </w:r>
      <w:r w:rsidRPr="004F028C">
        <w:rPr>
          <w:rFonts w:cstheme="minorHAnsi"/>
        </w:rPr>
        <w:t xml:space="preserve">  </w:t>
      </w:r>
      <w:r w:rsidRPr="004F028C">
        <w:rPr>
          <w:rFonts w:cstheme="minorHAnsi"/>
          <w:bCs/>
        </w:rPr>
        <w:t>This role has direct impact on financial governance over</w:t>
      </w:r>
      <w:r w:rsidRPr="004F028C">
        <w:rPr>
          <w:rFonts w:cstheme="minorHAnsi"/>
        </w:rPr>
        <w:t xml:space="preserve"> financial reporting, tax, FDICIA assessment process, and compliance with accounting regulations. </w:t>
      </w:r>
    </w:p>
    <w:p w:rsidR="00647934" w:rsidRPr="004F028C" w:rsidRDefault="00647934" w:rsidP="00647934">
      <w:pPr>
        <w:pStyle w:val="Heading2"/>
        <w:rPr>
          <w:rFonts w:asciiTheme="minorHAnsi" w:hAnsiTheme="minorHAnsi" w:cstheme="minorHAnsi"/>
          <w:bCs w:val="0"/>
          <w:color w:val="auto"/>
          <w:sz w:val="22"/>
          <w:szCs w:val="22"/>
          <w:u w:val="single"/>
        </w:rPr>
      </w:pPr>
      <w:r w:rsidRPr="004F028C">
        <w:rPr>
          <w:rFonts w:asciiTheme="minorHAnsi" w:hAnsiTheme="minorHAnsi" w:cstheme="minorHAnsi"/>
          <w:bCs w:val="0"/>
          <w:color w:val="auto"/>
          <w:sz w:val="22"/>
          <w:szCs w:val="22"/>
          <w:u w:val="single"/>
        </w:rPr>
        <w:t>KNOWLEDGE AND SKILLS</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 xml:space="preserve">CPA designation.  </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10+ years experience in senior roles in Finance in a financial services organization.</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Detailed knowledge of SOX/FDICIA and GAAP accounting and disclosure requirements and impacts to the businesses within the Bank.</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 xml:space="preserve">Strong leadership skills.  </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Strong influencing and relationship management skills.</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Exceptional verbal and written communication skills</w:t>
      </w:r>
    </w:p>
    <w:p w:rsidR="00647934" w:rsidRPr="004F028C" w:rsidRDefault="00647934" w:rsidP="00647934">
      <w:pPr>
        <w:numPr>
          <w:ilvl w:val="0"/>
          <w:numId w:val="5"/>
        </w:numPr>
        <w:tabs>
          <w:tab w:val="left" w:pos="5250"/>
        </w:tabs>
        <w:spacing w:after="0" w:line="240" w:lineRule="auto"/>
        <w:rPr>
          <w:rFonts w:cstheme="minorHAnsi"/>
        </w:rPr>
      </w:pPr>
      <w:r w:rsidRPr="004F028C">
        <w:rPr>
          <w:rFonts w:cstheme="minorHAnsi"/>
        </w:rPr>
        <w:t>Able to react in a continuously changing environment while contributing to long term success of the businesses.</w:t>
      </w:r>
    </w:p>
    <w:p w:rsidR="004F028C" w:rsidRPr="004F028C" w:rsidRDefault="004F028C" w:rsidP="004F028C">
      <w:pPr>
        <w:tabs>
          <w:tab w:val="left" w:pos="5250"/>
        </w:tabs>
        <w:spacing w:after="0" w:line="240" w:lineRule="auto"/>
        <w:rPr>
          <w:rFonts w:cstheme="minorHAnsi"/>
        </w:rPr>
      </w:pPr>
    </w:p>
    <w:p w:rsidR="00483A3B" w:rsidRDefault="004F028C" w:rsidP="00483A3B">
      <w:pPr>
        <w:tabs>
          <w:tab w:val="left" w:pos="5250"/>
        </w:tabs>
        <w:spacing w:after="0" w:line="240" w:lineRule="auto"/>
        <w:rPr>
          <w:rFonts w:cstheme="minorHAnsi"/>
        </w:rPr>
      </w:pPr>
      <w:r w:rsidRPr="004F028C">
        <w:rPr>
          <w:rFonts w:cstheme="minorHAnsi"/>
        </w:rPr>
        <w:t>For immediate</w:t>
      </w:r>
      <w:r>
        <w:rPr>
          <w:rFonts w:cstheme="minorHAnsi"/>
        </w:rPr>
        <w:t xml:space="preserve"> and confidential</w:t>
      </w:r>
      <w:r w:rsidRPr="004F028C">
        <w:rPr>
          <w:rFonts w:cstheme="minorHAnsi"/>
        </w:rPr>
        <w:t xml:space="preserve"> consideration, </w:t>
      </w:r>
      <w:r w:rsidR="00483A3B">
        <w:rPr>
          <w:rFonts w:cstheme="minorHAnsi"/>
        </w:rPr>
        <w:t>forward</w:t>
      </w:r>
      <w:r w:rsidRPr="004F028C">
        <w:rPr>
          <w:rFonts w:cstheme="minorHAnsi"/>
        </w:rPr>
        <w:t xml:space="preserve"> resume to:</w:t>
      </w:r>
      <w:r w:rsidR="00483A3B">
        <w:rPr>
          <w:rFonts w:cstheme="minorHAnsi"/>
        </w:rPr>
        <w:t xml:space="preserve"> </w:t>
      </w:r>
    </w:p>
    <w:p w:rsidR="00483A3B" w:rsidRDefault="00483A3B" w:rsidP="00483A3B">
      <w:pPr>
        <w:tabs>
          <w:tab w:val="left" w:pos="5250"/>
        </w:tabs>
        <w:spacing w:after="0" w:line="240" w:lineRule="auto"/>
        <w:rPr>
          <w:rFonts w:cstheme="minorHAnsi"/>
        </w:rPr>
      </w:pPr>
    </w:p>
    <w:p w:rsidR="00647934" w:rsidRPr="00483A3B" w:rsidRDefault="00483A3B" w:rsidP="00483A3B">
      <w:pPr>
        <w:tabs>
          <w:tab w:val="left" w:pos="5250"/>
        </w:tabs>
        <w:spacing w:after="0" w:line="240" w:lineRule="auto"/>
        <w:rPr>
          <w:rFonts w:cstheme="minorHAnsi"/>
          <w:color w:val="17365D" w:themeColor="text2" w:themeShade="BF"/>
        </w:rPr>
      </w:pPr>
      <w:r>
        <w:rPr>
          <w:rFonts w:cstheme="minorHAnsi"/>
        </w:rPr>
        <w:t>L</w:t>
      </w:r>
      <w:r>
        <w:rPr>
          <w:rFonts w:cstheme="minorHAnsi"/>
          <w:color w:val="17365D" w:themeColor="text2" w:themeShade="BF"/>
        </w:rPr>
        <w:t>eaders@Leadershipcapitalr</w:t>
      </w:r>
      <w:r w:rsidRPr="00483A3B">
        <w:rPr>
          <w:rFonts w:cstheme="minorHAnsi"/>
          <w:color w:val="17365D" w:themeColor="text2" w:themeShade="BF"/>
        </w:rPr>
        <w:t>esources.com</w:t>
      </w:r>
    </w:p>
    <w:p w:rsidR="00647934" w:rsidRPr="004F028C" w:rsidRDefault="00647934" w:rsidP="00647934">
      <w:pPr>
        <w:rPr>
          <w:rFonts w:cstheme="minorHAnsi"/>
        </w:rPr>
      </w:pPr>
    </w:p>
    <w:p w:rsidR="00647934" w:rsidRPr="004F028C" w:rsidRDefault="00647934">
      <w:pPr>
        <w:rPr>
          <w:rFonts w:cstheme="minorHAnsi"/>
        </w:rPr>
      </w:pPr>
    </w:p>
    <w:p w:rsidR="00647934" w:rsidRPr="004F028C" w:rsidRDefault="00647934">
      <w:pPr>
        <w:rPr>
          <w:rFonts w:cstheme="minorHAnsi"/>
        </w:rPr>
      </w:pPr>
    </w:p>
    <w:sectPr w:rsidR="00647934" w:rsidRPr="004F028C" w:rsidSect="00BD6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A8E"/>
    <w:multiLevelType w:val="hybridMultilevel"/>
    <w:tmpl w:val="C4EC0FA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94D30"/>
    <w:multiLevelType w:val="hybridMultilevel"/>
    <w:tmpl w:val="CD9EC2AA"/>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744D01"/>
    <w:multiLevelType w:val="singleLevel"/>
    <w:tmpl w:val="B9F8D644"/>
    <w:lvl w:ilvl="0">
      <w:start w:val="1"/>
      <w:numFmt w:val="bullet"/>
      <w:pStyle w:val="2ndLevelIndent"/>
      <w:lvlText w:val="-"/>
      <w:lvlJc w:val="left"/>
      <w:pPr>
        <w:tabs>
          <w:tab w:val="num" w:pos="1008"/>
        </w:tabs>
        <w:ind w:left="936" w:hanging="288"/>
      </w:pPr>
      <w:rPr>
        <w:rFonts w:ascii="Times New Roman" w:hAnsi="Times New Roman" w:cs="Times New Roman" w:hint="default"/>
        <w:b w:val="0"/>
        <w:i w:val="0"/>
        <w:color w:val="000000"/>
        <w:sz w:val="24"/>
      </w:rPr>
    </w:lvl>
  </w:abstractNum>
  <w:abstractNum w:abstractNumId="3">
    <w:nsid w:val="23B04EF3"/>
    <w:multiLevelType w:val="hybridMultilevel"/>
    <w:tmpl w:val="A006797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E96D78"/>
    <w:multiLevelType w:val="singleLevel"/>
    <w:tmpl w:val="8FFE91B2"/>
    <w:lvl w:ilvl="0">
      <w:start w:val="1"/>
      <w:numFmt w:val="bullet"/>
      <w:pStyle w:val="1stLevelIndent"/>
      <w:lvlText w:val="•"/>
      <w:lvlJc w:val="left"/>
      <w:pPr>
        <w:tabs>
          <w:tab w:val="num" w:pos="360"/>
        </w:tabs>
        <w:ind w:left="360" w:hanging="360"/>
      </w:pPr>
      <w:rPr>
        <w:rFonts w:ascii="Times New Roman" w:hAnsi="Times New Roman" w:hint="default"/>
        <w:b w:val="0"/>
        <w:i w:val="0"/>
        <w:sz w:val="24"/>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934"/>
    <w:rsid w:val="00483A3B"/>
    <w:rsid w:val="004F028C"/>
    <w:rsid w:val="00647934"/>
    <w:rsid w:val="00A55EE8"/>
    <w:rsid w:val="00A81AE8"/>
    <w:rsid w:val="00BD6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35"/>
  </w:style>
  <w:style w:type="paragraph" w:styleId="Heading1">
    <w:name w:val="heading 1"/>
    <w:basedOn w:val="Normal"/>
    <w:next w:val="Normal"/>
    <w:link w:val="Heading1Char"/>
    <w:uiPriority w:val="9"/>
    <w:qFormat/>
    <w:rsid w:val="00647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7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47934"/>
    <w:pPr>
      <w:keepNext/>
      <w:autoSpaceDE w:val="0"/>
      <w:autoSpaceDN w:val="0"/>
      <w:adjustRightInd w:val="0"/>
      <w:spacing w:after="0"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47934"/>
    <w:rPr>
      <w:rFonts w:ascii="Times New Roman" w:eastAsia="Times New Roman" w:hAnsi="Times New Roman" w:cs="Times New Roman"/>
      <w:b/>
      <w:bCs/>
      <w:color w:val="000000"/>
      <w:sz w:val="24"/>
      <w:szCs w:val="24"/>
    </w:rPr>
  </w:style>
  <w:style w:type="paragraph" w:customStyle="1" w:styleId="1stLevelIndent">
    <w:name w:val="1st Level Indent"/>
    <w:basedOn w:val="Normal"/>
    <w:rsid w:val="00647934"/>
    <w:pPr>
      <w:numPr>
        <w:numId w:val="1"/>
      </w:numPr>
      <w:spacing w:before="80" w:after="0" w:line="240" w:lineRule="auto"/>
    </w:pPr>
    <w:rPr>
      <w:rFonts w:ascii="Times New Roman" w:eastAsia="Times New Roman" w:hAnsi="Times New Roman" w:cs="Times New Roman"/>
      <w:color w:val="000000"/>
      <w:sz w:val="24"/>
      <w:szCs w:val="20"/>
    </w:rPr>
  </w:style>
  <w:style w:type="paragraph" w:customStyle="1" w:styleId="2ndLevelIndent">
    <w:name w:val="2nd Level Indent"/>
    <w:basedOn w:val="1stLevelIndent"/>
    <w:rsid w:val="00647934"/>
    <w:pPr>
      <w:numPr>
        <w:numId w:val="2"/>
      </w:numPr>
      <w:tabs>
        <w:tab w:val="clear" w:pos="1008"/>
        <w:tab w:val="num" w:pos="360"/>
      </w:tabs>
      <w:spacing w:before="0"/>
      <w:ind w:left="576" w:hanging="216"/>
    </w:pPr>
  </w:style>
  <w:style w:type="character" w:customStyle="1" w:styleId="Heading1Char">
    <w:name w:val="Heading 1 Char"/>
    <w:basedOn w:val="DefaultParagraphFont"/>
    <w:link w:val="Heading1"/>
    <w:uiPriority w:val="9"/>
    <w:rsid w:val="006479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79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7934"/>
    <w:pPr>
      <w:ind w:left="720"/>
      <w:contextualSpacing/>
    </w:pPr>
  </w:style>
  <w:style w:type="character" w:styleId="Hyperlink">
    <w:name w:val="Hyperlink"/>
    <w:basedOn w:val="DefaultParagraphFont"/>
    <w:uiPriority w:val="99"/>
    <w:unhideWhenUsed/>
    <w:rsid w:val="004F028C"/>
    <w:rPr>
      <w:color w:val="0000FF"/>
      <w:u w:val="single"/>
    </w:rPr>
  </w:style>
  <w:style w:type="character" w:customStyle="1" w:styleId="heading2char0">
    <w:name w:val="heading2char"/>
    <w:basedOn w:val="DefaultParagraphFont"/>
    <w:rsid w:val="004F028C"/>
  </w:style>
</w:styles>
</file>

<file path=word/webSettings.xml><?xml version="1.0" encoding="utf-8"?>
<w:webSettings xmlns:r="http://schemas.openxmlformats.org/officeDocument/2006/relationships" xmlns:w="http://schemas.openxmlformats.org/wordprocessingml/2006/main">
  <w:divs>
    <w:div w:id="12248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Kephart</dc:creator>
  <cp:lastModifiedBy>Kim Kephart</cp:lastModifiedBy>
  <cp:revision>2</cp:revision>
  <dcterms:created xsi:type="dcterms:W3CDTF">2010-05-05T15:29:00Z</dcterms:created>
  <dcterms:modified xsi:type="dcterms:W3CDTF">2010-05-05T15:29:00Z</dcterms:modified>
</cp:coreProperties>
</file>